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</w:rPr>
        <w:t>附件</w:t>
      </w:r>
    </w:p>
    <w:p>
      <w:pPr>
        <w:pStyle w:val="5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="Microsoft YaHei UI" w:hAnsi="Microsoft YaHei UI" w:eastAsia="Microsoft YaHei UI" w:cs="Microsoft YaHei UI"/>
          <w:color w:val="333333"/>
          <w:spacing w:val="8"/>
          <w:sz w:val="33"/>
          <w:szCs w:val="33"/>
        </w:rPr>
      </w:pPr>
      <w:r>
        <w:rPr>
          <w:rFonts w:ascii="Microsoft YaHei UI" w:hAnsi="Microsoft YaHei UI" w:eastAsia="Microsoft YaHei UI" w:cs="Microsoft YaHei UI"/>
          <w:color w:val="333333"/>
          <w:spacing w:val="8"/>
          <w:sz w:val="33"/>
          <w:szCs w:val="33"/>
          <w:shd w:val="clear" w:color="auto" w:fill="FFFFFF"/>
        </w:rPr>
        <w:t>广东财经大学报到和防疫须知</w:t>
      </w:r>
    </w:p>
    <w:p>
      <w:pPr>
        <w:widowControl/>
        <w:adjustRightInd w:val="0"/>
        <w:snapToGrid w:val="0"/>
        <w:spacing w:line="540" w:lineRule="exact"/>
        <w:ind w:firstLine="562" w:firstLineChars="200"/>
        <w:jc w:val="left"/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8"/>
          <w:szCs w:val="28"/>
        </w:rPr>
        <w:t>一、报到须知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欢迎各位学员广东财经大学佛山校区，《</w:t>
      </w:r>
      <w:r>
        <w:rPr>
          <w:rStyle w:val="14"/>
          <w:rFonts w:hint="eastAsia" w:ascii="仿宋" w:hAnsi="仿宋" w:eastAsia="仿宋" w:cs="仿宋"/>
          <w:bCs/>
          <w:sz w:val="28"/>
          <w:szCs w:val="28"/>
        </w:rPr>
        <w:t>2022年</w:t>
      </w:r>
      <w:r>
        <w:rPr>
          <w:rStyle w:val="14"/>
          <w:rFonts w:hint="eastAsia" w:ascii="仿宋" w:hAnsi="仿宋" w:eastAsia="仿宋" w:cs="仿宋"/>
          <w:bCs/>
          <w:sz w:val="28"/>
          <w:szCs w:val="28"/>
          <w:lang w:val="zh-CN"/>
        </w:rPr>
        <w:t>广东省</w:t>
      </w:r>
      <w:r>
        <w:rPr>
          <w:rStyle w:val="14"/>
          <w:rFonts w:hint="eastAsia" w:ascii="仿宋" w:hAnsi="仿宋" w:eastAsia="仿宋" w:cs="仿宋"/>
          <w:bCs/>
          <w:sz w:val="28"/>
          <w:szCs w:val="28"/>
        </w:rPr>
        <w:t>会计改革与发展</w:t>
      </w:r>
      <w:r>
        <w:rPr>
          <w:rStyle w:val="14"/>
          <w:rFonts w:hint="eastAsia" w:ascii="仿宋" w:hAnsi="仿宋" w:eastAsia="仿宋" w:cs="仿宋"/>
          <w:bCs/>
          <w:sz w:val="28"/>
          <w:szCs w:val="28"/>
          <w:lang w:val="zh-CN"/>
        </w:rPr>
        <w:t>“十四五”规划研修班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》即将开班，现将学习行程安排通知如下：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（一） 培训行程安排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1.培训时间：2022年8月1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-1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日</w:t>
      </w:r>
    </w:p>
    <w:p>
      <w:pPr>
        <w:autoSpaceDE w:val="0"/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2.报到时间：2022年8月1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14:00-18:00</w:t>
      </w:r>
    </w:p>
    <w:p>
      <w:pPr>
        <w:autoSpaceDE w:val="0"/>
        <w:spacing w:line="54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3.报到地点：报到地点有如下2个，会提前通知学员。</w:t>
      </w:r>
    </w:p>
    <w:p>
      <w:pPr>
        <w:autoSpaceDE w:val="0"/>
        <w:spacing w:line="54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报到地点1：广东财经大学佛山校区同心楼客房服务前台</w:t>
      </w:r>
    </w:p>
    <w:p>
      <w:pPr>
        <w:autoSpaceDE w:val="0"/>
        <w:spacing w:line="52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报到地点2：广东财经大学佛山校区税务学院公寓前台（教师接待室）。</w:t>
      </w:r>
    </w:p>
    <w:p>
      <w:pPr>
        <w:pStyle w:val="2"/>
        <w:spacing w:line="540" w:lineRule="exact"/>
        <w:ind w:firstLine="560" w:firstLineChars="200"/>
        <w:rPr>
          <w:sz w:val="28"/>
          <w:szCs w:val="28"/>
          <w:highlight w:val="yellow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4.上课地点：广东财经大学佛山校区同心楼111报告厅。</w:t>
      </w:r>
    </w:p>
    <w:p>
      <w:pPr>
        <w:pStyle w:val="2"/>
        <w:spacing w:line="54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二、疫情防控须知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培训前14天未到过境内中高风险地区、会前21天内未有港台地区、国外旅行史和居住史的学员须同时提供如下材料：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1.抵学校前 48 小时内核酸阴性检测证明、14 天通信大数据行程卡绿码截屏、广东粤康码绿码截屏，并按学校提供的小程序填写有关防疫信息。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2.学员进入校区后未经培训组织单位批准，原则上不得外出。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3.学员进入校区需进行体温检测。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4.进入课室上课前需要进行进行检测，集中上课、小组讨论时建议佩戴口罩。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5.教室、餐厅门口配备洗手液等防护（检测）用品。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6.如有学员出现体温异常、咳嗽等症状，按相关规定第一时间进行隔离，及时上报会务组，并进一步按照应急程序处置。</w:t>
      </w:r>
    </w:p>
    <w:p>
      <w:pPr>
        <w:pStyle w:val="2"/>
        <w:ind w:firstLine="210"/>
        <w:rPr>
          <w:sz w:val="28"/>
          <w:szCs w:val="28"/>
        </w:rPr>
      </w:pPr>
    </w:p>
    <w:p>
      <w:pPr>
        <w:pStyle w:val="10"/>
        <w:widowControl/>
        <w:spacing w:beforeAutospacing="0" w:afterAutospacing="0"/>
        <w:ind w:firstLine="562" w:firstLineChars="200"/>
        <w:rPr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三、交通指引</w:t>
      </w:r>
    </w:p>
    <w:p>
      <w:pPr>
        <w:pStyle w:val="5"/>
        <w:jc w:val="center"/>
        <w:rPr>
          <w:rFonts w:hint="default" w:ascii="仿宋_GB2312" w:hAnsi="Times New Roman" w:eastAsia="仿宋_GB2312" w:cs="仿宋_GB2312"/>
          <w:bCs/>
          <w:color w:val="000000"/>
        </w:rPr>
      </w:pPr>
      <w:r>
        <w:rPr>
          <w:rFonts w:ascii="仿宋_GB2312" w:hAnsi="Times New Roman" w:eastAsia="仿宋_GB2312" w:cs="仿宋_GB2312"/>
          <w:bCs/>
          <w:color w:val="000000"/>
        </w:rPr>
        <w:t>广东财经大学佛山校区校内导向图</w:t>
      </w:r>
    </w:p>
    <w:p>
      <w:pPr>
        <w:pStyle w:val="2"/>
        <w:ind w:firstLine="211"/>
        <w:rPr>
          <w:b/>
          <w:szCs w:val="21"/>
        </w:rPr>
      </w:pPr>
      <w:r>
        <w:rPr>
          <w:rFonts w:hint="eastAsia"/>
          <w:b/>
          <w:szCs w:val="21"/>
        </w:rPr>
        <w:drawing>
          <wp:inline distT="0" distB="0" distL="114300" distR="114300">
            <wp:extent cx="5614670" cy="4098290"/>
            <wp:effectExtent l="0" t="0" r="5080" b="16510"/>
            <wp:docPr id="7" name="图片 7" descr="99613fd18201c848b53f649e847f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9613fd18201c848b53f649e847f1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rPr>
          <w:rFonts w:ascii="仿宋_GB2312" w:eastAsia="仿宋_GB2312" w:cs="仿宋_GB2312"/>
          <w:color w:val="000000"/>
          <w:kern w:val="0"/>
          <w:sz w:val="30"/>
          <w:szCs w:val="30"/>
        </w:rPr>
      </w:pPr>
    </w:p>
    <w:p>
      <w:pPr>
        <w:autoSpaceDE w:val="0"/>
        <w:spacing w:line="52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校内酒店名称：1.广东财经大学佛山校区同心楼客房</w:t>
      </w:r>
    </w:p>
    <w:p>
      <w:pPr>
        <w:widowControl/>
        <w:adjustRightInd w:val="0"/>
        <w:snapToGrid w:val="0"/>
        <w:spacing w:line="540" w:lineRule="exact"/>
        <w:ind w:firstLine="2520" w:firstLineChars="9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2.广东财经大学佛山校区税务学院公寓</w:t>
      </w:r>
    </w:p>
    <w:p>
      <w:pPr>
        <w:autoSpaceDE w:val="0"/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校内酒店导航地址：</w:t>
      </w:r>
      <w:r>
        <w:rPr>
          <w:rFonts w:hint="eastAsia" w:ascii="仿宋" w:hAnsi="仿宋" w:eastAsia="仿宋"/>
          <w:sz w:val="28"/>
          <w:szCs w:val="28"/>
        </w:rPr>
        <w:t>广东财经大学佛山校区东门。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sz w:val="28"/>
          <w:szCs w:val="28"/>
        </w:rPr>
      </w:pPr>
    </w:p>
    <w:p>
      <w:pPr>
        <w:widowControl/>
        <w:adjustRightInd w:val="0"/>
        <w:snapToGrid w:val="0"/>
        <w:spacing w:line="540" w:lineRule="exact"/>
        <w:ind w:firstLine="562" w:firstLineChars="200"/>
        <w:jc w:val="left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8"/>
          <w:szCs w:val="28"/>
        </w:rPr>
        <w:t>（一）自驾</w:t>
      </w:r>
    </w:p>
    <w:p>
      <w:pPr>
        <w:tabs>
          <w:tab w:val="left" w:pos="1792"/>
          <w:tab w:val="center" w:pos="4153"/>
          <w:tab w:val="left" w:pos="5927"/>
        </w:tabs>
        <w:spacing w:line="520" w:lineRule="exact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路线一：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广三高速 → 云东海出口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 → 云东海大道 →  碧云路辅路（穿过碧云路高架桥下十字路口，左拐，西行） → 碧云路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 →  学海中路  → 广东财经大学佛山校区学东门</w:t>
      </w:r>
    </w:p>
    <w:p>
      <w:pPr>
        <w:tabs>
          <w:tab w:val="left" w:pos="1792"/>
          <w:tab w:val="center" w:pos="4153"/>
          <w:tab w:val="left" w:pos="5927"/>
        </w:tabs>
        <w:spacing w:line="520" w:lineRule="exact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路线二：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广三高速→ 云东海出口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  → 云东海大道  → 大学路 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→ 学海中路  → 广东财经大学佛山校区东门</w:t>
      </w:r>
    </w:p>
    <w:p>
      <w:pPr>
        <w:tabs>
          <w:tab w:val="left" w:pos="1792"/>
          <w:tab w:val="center" w:pos="4153"/>
          <w:tab w:val="left" w:pos="5927"/>
        </w:tabs>
        <w:spacing w:line="520" w:lineRule="exact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路线三：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广三高速   →  唐家收费站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  →  碧云路（东行）  →   碧云路与云东海大道交叉路口高架桥下掉头  →  碧云路（西行） →  学海中路 →  广东财经大学佛山校区学东门</w:t>
      </w:r>
    </w:p>
    <w:p>
      <w:pPr>
        <w:widowControl/>
        <w:adjustRightInd w:val="0"/>
        <w:snapToGrid w:val="0"/>
        <w:spacing w:line="540" w:lineRule="exact"/>
        <w:ind w:firstLine="562" w:firstLineChars="200"/>
        <w:jc w:val="left"/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8"/>
          <w:szCs w:val="28"/>
        </w:rPr>
        <w:t>（二）乘坐高铁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选择目的地站点：三水南站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换乘公交：在站内公交站场乘坐667/668/647到“人民医院（汽车站）B”公交站下车，通过人行天桥过对向马路，“人民医院（汽车站）”公交站在换乘635路公交车，在终点站“广东财经大学东门”下车。</w:t>
      </w:r>
    </w:p>
    <w:p>
      <w:pPr>
        <w:widowControl/>
        <w:adjustRightInd w:val="0"/>
        <w:snapToGrid w:val="0"/>
        <w:spacing w:line="540" w:lineRule="exact"/>
        <w:ind w:firstLine="562" w:firstLineChars="200"/>
        <w:jc w:val="left"/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8"/>
          <w:szCs w:val="28"/>
        </w:rPr>
        <w:t>（三）乘坐广佛肇城际轻轨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1.选择目的地站点：三水北站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换乘公交：三水北站公交站乘坐644路公交车到“人民医院（汽车站）”公交站，同向换乘635路公交车，在终点站“广东财经大学东门”下车。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2.选择目的地站点：云东海站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换乘公交：在云东海站公交站乘坐634/666路公交车，在 “广东财经大学西门”下车</w:t>
      </w:r>
    </w:p>
    <w:p>
      <w:pPr>
        <w:widowControl/>
        <w:adjustRightInd w:val="0"/>
        <w:snapToGrid w:val="0"/>
        <w:spacing w:line="540" w:lineRule="exact"/>
        <w:ind w:firstLine="562" w:firstLineChars="200"/>
        <w:jc w:val="left"/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8"/>
          <w:szCs w:val="28"/>
        </w:rPr>
        <w:t>（四）乘坐客车来三水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选择目的地站点：三水汽车客运站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换乘公交：通过人行天桥过对向马路，“人民医院（汽车站）”公交站在换乘635路公交车，在终点站“广东财经大学东门”下车。</w:t>
      </w:r>
    </w:p>
    <w:p>
      <w:pPr>
        <w:widowControl/>
        <w:adjustRightInd w:val="0"/>
        <w:snapToGrid w:val="0"/>
        <w:spacing w:line="540" w:lineRule="exact"/>
        <w:ind w:firstLine="562" w:firstLineChars="200"/>
        <w:jc w:val="left"/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8"/>
          <w:szCs w:val="28"/>
        </w:rPr>
        <w:t>（五）校内路线指引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路线：佛山校区东门 → 图书馆桥头（右转）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→ 环湖北路→同心楼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baseline"/>
        <w:rPr>
          <w:rStyle w:val="14"/>
          <w:rFonts w:ascii="仿宋" w:hAnsi="仿宋" w:eastAsia="仿宋"/>
          <w:kern w:val="0"/>
          <w:sz w:val="28"/>
          <w:szCs w:val="28"/>
        </w:rPr>
      </w:pPr>
    </w:p>
    <w:sectPr>
      <w:footerReference r:id="rId3" w:type="default"/>
      <w:pgSz w:w="11906" w:h="16838"/>
      <w:pgMar w:top="141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ZWY5NjFmMmY5NzdhZmRmNzAwZTJmMDc1NTJlY2UifQ=="/>
  </w:docVars>
  <w:rsids>
    <w:rsidRoot w:val="00E466AC"/>
    <w:rsid w:val="00047A5B"/>
    <w:rsid w:val="00086C97"/>
    <w:rsid w:val="00096F92"/>
    <w:rsid w:val="000C1131"/>
    <w:rsid w:val="000C4108"/>
    <w:rsid w:val="000D2955"/>
    <w:rsid w:val="00105879"/>
    <w:rsid w:val="00132BF0"/>
    <w:rsid w:val="001778A1"/>
    <w:rsid w:val="001B079F"/>
    <w:rsid w:val="002263F8"/>
    <w:rsid w:val="002916BA"/>
    <w:rsid w:val="00314CC6"/>
    <w:rsid w:val="003151F7"/>
    <w:rsid w:val="003248B8"/>
    <w:rsid w:val="00327668"/>
    <w:rsid w:val="00333173"/>
    <w:rsid w:val="0035380E"/>
    <w:rsid w:val="00362FBB"/>
    <w:rsid w:val="00434524"/>
    <w:rsid w:val="00445E30"/>
    <w:rsid w:val="0046128E"/>
    <w:rsid w:val="00491022"/>
    <w:rsid w:val="004C3D9B"/>
    <w:rsid w:val="0050070A"/>
    <w:rsid w:val="00666A85"/>
    <w:rsid w:val="00670307"/>
    <w:rsid w:val="006D7974"/>
    <w:rsid w:val="006E65EE"/>
    <w:rsid w:val="00713F77"/>
    <w:rsid w:val="007A3F95"/>
    <w:rsid w:val="007B4FFA"/>
    <w:rsid w:val="0080572A"/>
    <w:rsid w:val="0082437F"/>
    <w:rsid w:val="00837C58"/>
    <w:rsid w:val="0088426A"/>
    <w:rsid w:val="008A5DF6"/>
    <w:rsid w:val="009027D5"/>
    <w:rsid w:val="00927914"/>
    <w:rsid w:val="00986267"/>
    <w:rsid w:val="00A40CBE"/>
    <w:rsid w:val="00A93339"/>
    <w:rsid w:val="00AC67EE"/>
    <w:rsid w:val="00AD526F"/>
    <w:rsid w:val="00B91EDA"/>
    <w:rsid w:val="00B94C4F"/>
    <w:rsid w:val="00BA12F5"/>
    <w:rsid w:val="00BD1D38"/>
    <w:rsid w:val="00C60DD6"/>
    <w:rsid w:val="00C66873"/>
    <w:rsid w:val="00CF7050"/>
    <w:rsid w:val="00D2690C"/>
    <w:rsid w:val="00E33A1B"/>
    <w:rsid w:val="00E34992"/>
    <w:rsid w:val="00E34C3A"/>
    <w:rsid w:val="00E466AC"/>
    <w:rsid w:val="00E52992"/>
    <w:rsid w:val="00E661F8"/>
    <w:rsid w:val="00E85C43"/>
    <w:rsid w:val="00ED4200"/>
    <w:rsid w:val="00F93C7E"/>
    <w:rsid w:val="00FE2030"/>
    <w:rsid w:val="14B14879"/>
    <w:rsid w:val="168B3820"/>
    <w:rsid w:val="20C018CD"/>
    <w:rsid w:val="21957074"/>
    <w:rsid w:val="21E20E0A"/>
    <w:rsid w:val="252C6F71"/>
    <w:rsid w:val="25973DB9"/>
    <w:rsid w:val="276A7EB7"/>
    <w:rsid w:val="2A4E5CBE"/>
    <w:rsid w:val="2ABA5072"/>
    <w:rsid w:val="35357BDF"/>
    <w:rsid w:val="39BA490E"/>
    <w:rsid w:val="3D3B54A4"/>
    <w:rsid w:val="3DCB1F37"/>
    <w:rsid w:val="40613D5E"/>
    <w:rsid w:val="41762CBA"/>
    <w:rsid w:val="4AB25681"/>
    <w:rsid w:val="4AD81FAA"/>
    <w:rsid w:val="4D034A33"/>
    <w:rsid w:val="4DB34D7E"/>
    <w:rsid w:val="55EC0DE5"/>
    <w:rsid w:val="57616D8D"/>
    <w:rsid w:val="61DD4D8E"/>
    <w:rsid w:val="637E4FFC"/>
    <w:rsid w:val="654F0BD4"/>
    <w:rsid w:val="65CD3E70"/>
    <w:rsid w:val="6C3648E1"/>
    <w:rsid w:val="70E570E4"/>
    <w:rsid w:val="71CE6276"/>
    <w:rsid w:val="751D2B64"/>
    <w:rsid w:val="77E32342"/>
    <w:rsid w:val="7A846C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6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Calibri" w:hAnsi="Calibri" w:cs="Times New Roman"/>
      <w:sz w:val="21"/>
      <w:szCs w:val="20"/>
      <w:lang w:val="en-US" w:bidi="ar-SA"/>
    </w:rPr>
  </w:style>
  <w:style w:type="paragraph" w:styleId="3">
    <w:name w:val="Body Text"/>
    <w:basedOn w:val="1"/>
    <w:next w:val="4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Emphasis"/>
    <w:qFormat/>
    <w:uiPriority w:val="0"/>
    <w:rPr>
      <w:i/>
    </w:rPr>
  </w:style>
  <w:style w:type="character" w:customStyle="1" w:styleId="14">
    <w:name w:val="NormalCharacter"/>
    <w:semiHidden/>
    <w:qFormat/>
    <w:uiPriority w:val="0"/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UserStyle_0"/>
    <w:link w:val="1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页脚1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UserStyle_1"/>
    <w:semiHidden/>
    <w:qFormat/>
    <w:uiPriority w:val="0"/>
  </w:style>
  <w:style w:type="character" w:customStyle="1" w:styleId="19">
    <w:name w:val="UserStyle_2"/>
    <w:link w:val="2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页眉1"/>
    <w:basedOn w:val="1"/>
    <w:link w:val="1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3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22">
    <w:name w:val="页眉 Char"/>
    <w:basedOn w:val="12"/>
    <w:link w:val="9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页脚 Char"/>
    <w:basedOn w:val="12"/>
    <w:link w:val="8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批注框文本 Char"/>
    <w:basedOn w:val="12"/>
    <w:link w:val="7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2882</Words>
  <Characters>3071</Characters>
  <Lines>12</Lines>
  <Paragraphs>3</Paragraphs>
  <TotalTime>26</TotalTime>
  <ScaleCrop>false</ScaleCrop>
  <LinksUpToDate>false</LinksUpToDate>
  <CharactersWithSpaces>3219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2020-08-21T03:35:00Z</dcterms:created>
  <dc:creator>李克迪(东风日产乘用车公司经营管理总部总经理办公室)</dc:creator>
  <cp:lastModifiedBy>h</cp:lastModifiedBy>
  <cp:lastPrinted>2022-07-27T08:21:55Z</cp:lastPrinted>
  <dcterms:modified xsi:type="dcterms:W3CDTF">2022-07-27T08:24:46Z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2FD06E3B62624330B7FF9EF22200D1DB</vt:lpwstr>
  </property>
</Properties>
</file>